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927812.xml.htm"/>
      <w:bookmarkStart w:id="1" w:name="kswkform4_17849278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Kohn Bernhard L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PLAYBOY,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10960 WILSHIRE BLVD, SUITE 2200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Playboy, Inc.</w:t>
              </w:r>
            </w:hyperlink>
            <w:r>
              <w:rPr/>
              <w:t xml:space="preserve"> [ </w:t>
            </w:r>
            <w:r>
              <w:rPr>
                <w:rFonts w:ascii="Times;serif" w:hAnsi="Times;serif"/>
                <w:color w:val="0000FF"/>
                <w:sz w:val="24"/>
                <w:shd w:fill="FFFFFF" w:val="clear"/>
              </w:rPr>
              <w:t>PLBY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&amp;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4"/>
        <w:gridCol w:w="916"/>
        <w:gridCol w:w="786"/>
        <w:gridCol w:w="608"/>
        <w:gridCol w:w="342"/>
        <w:gridCol w:w="1057"/>
        <w:gridCol w:w="427"/>
        <w:gridCol w:w="593"/>
        <w:gridCol w:w="1255"/>
        <w:gridCol w:w="971"/>
        <w:gridCol w:w="118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645,161</w:t>
            </w:r>
            <w:r>
              <w:rPr>
                <w:rFonts w:ascii="Times;serif" w:hAnsi="Times;serif"/>
                <w:color w:val="008000"/>
                <w:position w:val="7"/>
                <w:sz w:val="16"/>
                <w:sz w:val="20"/>
                <w:shd w:fill="FFFFFF" w:val="clear"/>
              </w:rPr>
              <w:t>(1)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6,133,569</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75,361</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Cold Springs Trust</w:t>
            </w:r>
            <w:r>
              <w:rPr>
                <w:rFonts w:ascii="Times;serif" w:hAnsi="Times;serif"/>
                <w:color w:val="008000"/>
                <w:position w:val="7"/>
                <w:sz w:val="16"/>
                <w:sz w:val="20"/>
                <w:shd w:fill="FFFFFF" w:val="clear"/>
              </w:rPr>
              <w:t>(2)</w:t>
            </w:r>
          </w:p>
        </w:tc>
      </w:tr>
      <w:tr>
        <w:trPr/>
        <w:tc>
          <w:tcPr>
            <w:tcW w:w="20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445,309</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Woodburn Dr LP</w:t>
            </w:r>
            <w:r>
              <w:rPr>
                <w:rFonts w:ascii="Times;serif" w:hAnsi="Times;serif"/>
                <w:color w:val="008000"/>
                <w:position w:val="7"/>
                <w:sz w:val="16"/>
                <w:sz w:val="20"/>
                <w:shd w:fill="FFFFFF" w:val="clear"/>
              </w:rPr>
              <w:t>(3)</w:t>
            </w:r>
          </w:p>
        </w:tc>
      </w:tr>
      <w:tr>
        <w:trPr/>
        <w:tc>
          <w:tcPr>
            <w:tcW w:w="20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Bircoll Kohn Family Trust</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that vests in full on April 30,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held directly by Cold Springs Trust, of which Mr. Kohn is a beneficiary. Mr. Kohn disclaims beneficial ownership of the shares owned by Cold Springs Trust, except to the extent of his pecuniary interest therein, and the inclusion of these securities in this report shall not be deemed an admission of beneficial ownership of the reported securities for purpose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held directly by Woodburn Dr LP, an entity controlled by Mr. Kohn. Mr. Kohn disclaims beneficial ownership of the shares owned by Woodburn Dr LP, except to the extent of his pecuniary interest therein, and the inclusion of these securities in this report shall not be deemed an admission of beneficial ownership of the reported securities for purpose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securities held directly by Bircoll Kohn Family Trust, for which Mr. Kohn is a trustee and a controlling person. Mr. Kohn disclaims beneficial ownership of the shares owned by Bircoll Kohn Family Trust, except to the extent of his pecuniary interest therein, and the inclusion of these securities in this report shall not be deemed an admission of beneficial ownership of the reported securities for purpose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Riley,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4121" TargetMode="External"/><Relationship Id="rId5" Type="http://schemas.openxmlformats.org/officeDocument/2006/relationships/hyperlink" Target="http://www.sec.gov/cgi-bin/browse-edgar?action=getcompany&amp;CIK=00018039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832</Words>
  <Characters>4399</Characters>
  <CharactersWithSpaces>5147</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